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center"/>
        <w:spacing w:line="276" w:lineRule="auto"/>
      </w:pPr>
      <w:r>
        <w:rPr>
          <w:rFonts w:ascii="Segoe UI" w:hAnsi="Segoe UI" w:cs="Segoe UI"/>
          <w:b/>
          <w:bCs/>
          <w:sz w:val="24"/>
          <w:szCs w:val="24"/>
        </w:rPr>
        <w:t xml:space="preserve">Свердловский Росреестр рассказал о самых распространённых ошибках кадастровых инженеров</w:t>
      </w:r>
      <w:r/>
    </w:p>
    <w:p>
      <w:pPr>
        <w:jc w:val="both"/>
        <w:spacing w:line="276" w:lineRule="auto"/>
      </w:pPr>
      <w:r>
        <w:rPr>
          <w:rFonts w:ascii="Segoe UI" w:hAnsi="Segoe UI" w:cs="Segoe UI"/>
          <w:sz w:val="24"/>
          <w:szCs w:val="24"/>
        </w:rPr>
        <w:t xml:space="preserve">О том, какие чаще всего допускают ошибки кадастровые инженеры, на онлайн-семинаре 24 декабря рассказали специалисты Управления.</w:t>
      </w:r>
      <w:r>
        <w:rPr>
          <w:rFonts w:ascii="Segoe UI" w:hAnsi="Segoe UI" w:cs="Segoe UI"/>
          <w:sz w:val="24"/>
          <w:szCs w:val="24"/>
        </w:rPr>
      </w:r>
      <w:r/>
    </w:p>
    <w:p>
      <w:pPr>
        <w:jc w:val="both"/>
        <w:spacing w:line="276" w:lineRule="auto"/>
      </w:pPr>
      <w:r>
        <w:rPr>
          <w:rFonts w:ascii="Segoe UI" w:hAnsi="Segoe UI" w:cs="Segoe UI"/>
          <w:sz w:val="24"/>
          <w:szCs w:val="24"/>
        </w:rPr>
        <w:t xml:space="preserve">Такие мероприятия позволили повысить качество оказания услуг Росреестра, проводить учетно-регистрационные действия в максимально короткие сроки, минимизировать количество приостановлений до 1,38% по кадастровому учету, до 1,81% по единой процедуре.</w:t>
      </w:r>
      <w:r>
        <w:rPr>
          <w:rFonts w:ascii="Segoe UI" w:hAnsi="Segoe UI" w:cs="Segoe UI"/>
          <w:sz w:val="24"/>
          <w:szCs w:val="24"/>
        </w:rPr>
      </w:r>
      <w:r/>
    </w:p>
    <w:p>
      <w:pPr>
        <w:jc w:val="both"/>
        <w:spacing w:line="276" w:lineRule="auto"/>
      </w:pPr>
      <w:r>
        <w:rPr>
          <w:rFonts w:ascii="Segoe UI" w:hAnsi="Segoe UI" w:cs="Segoe UI"/>
          <w:sz w:val="24"/>
          <w:szCs w:val="24"/>
        </w:rPr>
        <w:t xml:space="preserve">С</w:t>
      </w:r>
      <w:r>
        <w:rPr>
          <w:rFonts w:ascii="Segoe UI" w:hAnsi="Segoe UI" w:cs="Segoe UI"/>
          <w:sz w:val="24"/>
          <w:szCs w:val="24"/>
        </w:rPr>
        <w:t xml:space="preserve">амые распространённые ошибки при подготовке межевых планов связаны с невнимательностью или использованию неактуальных сведений ЕГРН. </w:t>
      </w:r>
      <w:r>
        <w:rPr>
          <w:rFonts w:ascii="Segoe UI" w:hAnsi="Segoe UI" w:cs="Segoe UI"/>
          <w:sz w:val="24"/>
          <w:szCs w:val="24"/>
        </w:rPr>
        <w:t xml:space="preserve">Также следует предварительно проверять документы в личном кабинете кадастрового инженера.</w:t>
      </w:r>
      <w:r/>
    </w:p>
    <w:p>
      <w:pPr>
        <w:jc w:val="both"/>
        <w:spacing w:line="276" w:lineRule="auto"/>
      </w:pPr>
      <w:r>
        <w:rPr>
          <w:rFonts w:ascii="Segoe UI" w:hAnsi="Segoe UI" w:cs="Segoe UI"/>
          <w:sz w:val="24"/>
          <w:szCs w:val="24"/>
        </w:rPr>
        <w:t xml:space="preserve">Основные ошибки:</w:t>
      </w:r>
      <w:r/>
    </w:p>
    <w:p>
      <w:pPr>
        <w:jc w:val="both"/>
        <w:spacing w:line="276" w:lineRule="auto"/>
      </w:pPr>
      <w:r>
        <w:rPr>
          <w:rFonts w:ascii="Segoe UI" w:hAnsi="Segoe UI" w:cs="Segoe UI"/>
          <w:sz w:val="24"/>
          <w:szCs w:val="24"/>
        </w:rPr>
        <w:t xml:space="preserve">1</w:t>
      </w:r>
      <w:r>
        <w:rPr>
          <w:rFonts w:ascii="Segoe UI" w:hAnsi="Segoe UI" w:cs="Segoe UI"/>
          <w:sz w:val="24"/>
          <w:szCs w:val="24"/>
        </w:rPr>
        <w:t xml:space="preserve">. В межевом плане не заполнен раздел на участок, который по сведениям ЕГРН является смежным и с которым возникает пересечение, и не приведено соответствующее обоснование. При изменении части координат смежного земельного участка не указывается актуализиров</w:t>
      </w:r>
      <w:r>
        <w:rPr>
          <w:rFonts w:ascii="Segoe UI" w:hAnsi="Segoe UI" w:cs="Segoe UI"/>
          <w:sz w:val="24"/>
          <w:szCs w:val="24"/>
        </w:rPr>
        <w:t xml:space="preserve">анная площадь.</w:t>
      </w:r>
      <w:r/>
    </w:p>
    <w:p>
      <w:pPr>
        <w:jc w:val="both"/>
        <w:spacing w:line="276" w:lineRule="auto"/>
      </w:pPr>
      <w:r>
        <w:rPr>
          <w:rFonts w:ascii="Segoe UI" w:hAnsi="Segoe UI" w:cs="Segoe UI"/>
          <w:sz w:val="24"/>
          <w:szCs w:val="24"/>
        </w:rPr>
        <w:t xml:space="preserve">2. В межевом плане образуемый земельный участок не соответствует требованиям к размерам, установленным правилами землепользования и застройки.</w:t>
      </w:r>
      <w:r/>
    </w:p>
    <w:p>
      <w:pPr>
        <w:jc w:val="both"/>
        <w:spacing w:line="276" w:lineRule="auto"/>
      </w:pPr>
      <w:r>
        <w:rPr>
          <w:rFonts w:ascii="Segoe UI" w:hAnsi="Segoe UI" w:cs="Segoe UI"/>
          <w:sz w:val="24"/>
          <w:szCs w:val="24"/>
        </w:rPr>
        <w:t xml:space="preserve">3</w:t>
      </w:r>
      <w:r>
        <w:rPr>
          <w:rFonts w:ascii="Segoe UI" w:hAnsi="Segoe UI" w:cs="Segoe UI"/>
          <w:sz w:val="24"/>
          <w:szCs w:val="24"/>
        </w:rPr>
        <w:t xml:space="preserve">. В межевом плане не обеспечен доступ (проход или проезд от земель общего пользования) к земельному участку. Здесь встречается 3 вариации: либо раздел о доступе не заполнен, либо в состав межевого плана не включены соответствующие соглашения о доступе, либ</w:t>
      </w:r>
      <w:r>
        <w:rPr>
          <w:rFonts w:ascii="Segoe UI" w:hAnsi="Segoe UI" w:cs="Segoe UI"/>
          <w:sz w:val="24"/>
          <w:szCs w:val="24"/>
        </w:rPr>
        <w:t xml:space="preserve">о указанные в межевом плане земельные участки не обеспечивают выход к землям общего пользования.</w:t>
      </w:r>
      <w:r/>
    </w:p>
    <w:p>
      <w:pPr>
        <w:jc w:val="both"/>
        <w:spacing w:line="276" w:lineRule="auto"/>
      </w:pPr>
      <w:r>
        <w:rPr>
          <w:rFonts w:ascii="Segoe UI" w:hAnsi="Segoe UI" w:cs="Segoe UI"/>
          <w:sz w:val="24"/>
          <w:szCs w:val="24"/>
        </w:rPr>
        <w:t xml:space="preserve">4. В межевом плане отсутствуют документы об образовании земельного участка из земель госсобственности или образуемые земельные участки не соответствуют таким документам.</w:t>
      </w:r>
      <w:r/>
    </w:p>
    <w:p>
      <w:pPr>
        <w:jc w:val="both"/>
        <w:spacing w:line="276" w:lineRule="auto"/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С 1 марта 2025 года регистрационные действия в отношении земельного участка не могут быть выполнены, если в ЕГРН отсутствуют сведения о местоположении его границ. Также нельзя поставить на кадастровый учёт или оформить права на здание, сооружение или объек</w:t>
      </w:r>
      <w:r>
        <w:rPr>
          <w:rFonts w:ascii="Segoe UI" w:hAnsi="Segoe UI" w:cs="Segoe UI"/>
          <w:i/>
          <w:iCs/>
          <w:sz w:val="24"/>
          <w:szCs w:val="24"/>
        </w:rPr>
        <w:t xml:space="preserve">т незавершенного строительства, расположенные на земельном участке без учтённых границ», -</w:t>
      </w:r>
      <w:r>
        <w:rPr>
          <w:rFonts w:ascii="Segoe UI" w:hAnsi="Segoe UI" w:cs="Segoe UI"/>
          <w:sz w:val="24"/>
          <w:szCs w:val="24"/>
        </w:rPr>
        <w:t xml:space="preserve"> рассказала 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bCs/>
          <w:sz w:val="24"/>
          <w:szCs w:val="24"/>
        </w:rPr>
        <w:t xml:space="preserve">Ирина Семкина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  <w:r/>
    </w:p>
    <w:p>
      <w:pPr>
        <w:jc w:val="both"/>
        <w:spacing w:line="276" w:lineRule="auto"/>
      </w:pPr>
      <w:r>
        <w:rPr>
          <w:rFonts w:ascii="Segoe UI" w:hAnsi="Segoe UI" w:cs="Segoe UI"/>
          <w:sz w:val="24"/>
          <w:szCs w:val="24"/>
        </w:rPr>
        <w:t xml:space="preserve">У</w:t>
      </w:r>
      <w:r>
        <w:rPr>
          <w:rFonts w:ascii="Segoe UI" w:hAnsi="Segoe UI" w:cs="Segoe UI"/>
          <w:sz w:val="24"/>
          <w:szCs w:val="24"/>
        </w:rPr>
        <w:t xml:space="preserve">знать всю необходимую информацию о кадастровом инженере, проверив сведения о нём можно в </w:t>
      </w:r>
      <w:hyperlink r:id="rId10" w:tooltip="https://rosreestr.gov.ru/wps/portal/p/cc_ib_portal_services/cc_ib_sro_reestrs" w:history="1">
        <w:r>
          <w:rPr>
            <w:rStyle w:val="836"/>
            <w:rFonts w:ascii="Segoe UI" w:hAnsi="Segoe UI" w:cs="Segoe UI"/>
            <w:sz w:val="24"/>
            <w:szCs w:val="24"/>
          </w:rPr>
          <w:t xml:space="preserve">Реестре кадастровых инженеров</w:t>
        </w:r>
      </w:hyperlink>
      <w:r>
        <w:rPr>
          <w:rFonts w:ascii="Segoe UI" w:hAnsi="Segoe UI" w:cs="Segoe UI"/>
          <w:sz w:val="24"/>
          <w:szCs w:val="24"/>
        </w:rPr>
        <w:t xml:space="preserve"> на сайте Росреестра в разделе «Электронные услуги и сервисы». При выборе необходимо обратить внимание на результаты профессиональной деят</w:t>
      </w:r>
      <w:r>
        <w:rPr>
          <w:rFonts w:ascii="Segoe UI" w:hAnsi="Segoe UI" w:cs="Segoe UI"/>
          <w:sz w:val="24"/>
          <w:szCs w:val="24"/>
        </w:rPr>
        <w:t xml:space="preserve">ельности (общее количество подготовленных документов, долю как положительных, так и отрицательных решений по этим документам).</w:t>
      </w:r>
      <w:r>
        <w:rPr>
          <w:rFonts w:ascii="Segoe UI" w:hAnsi="Segoe UI" w:cs="Segoe UI"/>
          <w:sz w:val="24"/>
          <w:szCs w:val="24"/>
        </w:rPr>
      </w:r>
      <w:r/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#РосреестрРазъясняет #УслугиРосреестра #НСПД #Свердловская_область</w:t>
      </w:r>
      <w:r>
        <w:rPr>
          <w:rFonts w:ascii="Segoe UI" w:hAnsi="Segoe UI" w:cs="Segoe UI"/>
          <w:sz w:val="24"/>
          <w:szCs w:val="24"/>
        </w:rPr>
        <w:t xml:space="preserve"> #Кадастровые_работы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 w:eastAsiaTheme="minorEastAsia"/>
          <w:b/>
          <w:bCs/>
          <w:sz w:val="18"/>
          <w:szCs w:val="18"/>
          <w:lang w:eastAsia="ru-RU"/>
        </w:rPr>
      </w:pPr>
      <w:r>
        <w:rPr>
          <w:rFonts w:cs="Times New Roman" w:eastAsiaTheme="minorEastAsia"/>
          <w:highlight w:val="none"/>
          <w:lang w:eastAsia="ru-RU"/>
        </w:rPr>
      </w:r>
      <w:r>
        <w:rPr>
          <w:rFonts w:cs="Times New Roman" w:eastAsiaTheme="minorEastAsia"/>
          <w:highlight w:val="none"/>
          <w:lang w:eastAsia="ru-RU"/>
        </w:rPr>
      </w:r>
    </w:p>
    <w:p>
      <w:pPr>
        <w:jc w:val="both"/>
        <w:spacing w:line="276" w:lineRule="auto"/>
        <w:rPr>
          <w:rFonts w:cs="Times New Roman" w:eastAsiaTheme="minorEastAsia"/>
          <w:highlight w:val="none"/>
          <w:lang w:eastAsia="ru-RU"/>
        </w:rPr>
      </w:pPr>
      <w:r>
        <w:rPr>
          <w:rFonts w:cs="Times New Roman" w:eastAsiaTheme="minorEastAsia"/>
          <w:highlight w:val="none"/>
          <w:lang w:eastAsia="ru-RU"/>
        </w:rPr>
      </w:r>
      <w:r>
        <w:rPr>
          <w:rFonts w:cs="Times New Roman" w:eastAsiaTheme="minorEastAsia"/>
          <w:highlight w:val="none"/>
          <w:lang w:eastAsia="ru-RU"/>
        </w:rPr>
      </w:r>
    </w:p>
    <w:p>
      <w:pPr>
        <w:jc w:val="both"/>
        <w:spacing w:line="276" w:lineRule="auto"/>
        <w:rPr>
          <w:rFonts w:cs="Times New Roman" w:eastAsiaTheme="minorEastAsia"/>
          <w:highlight w:val="none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cs="Times New Roman" w:eastAsiaTheme="minorEastAsia"/>
          <w:highlight w:val="none"/>
          <w:lang w:eastAsia="ru-RU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96"/>
    <w:uiPriority w:val="10"/>
    <w:rPr>
      <w:sz w:val="48"/>
      <w:szCs w:val="48"/>
    </w:rPr>
  </w:style>
  <w:style w:type="character" w:styleId="666">
    <w:name w:val="Subtitle Char"/>
    <w:basedOn w:val="683"/>
    <w:link w:val="698"/>
    <w:uiPriority w:val="11"/>
    <w:rPr>
      <w:sz w:val="24"/>
      <w:szCs w:val="24"/>
    </w:rPr>
  </w:style>
  <w:style w:type="character" w:styleId="667">
    <w:name w:val="Quote Char"/>
    <w:link w:val="700"/>
    <w:uiPriority w:val="29"/>
    <w:rPr>
      <w:i/>
    </w:rPr>
  </w:style>
  <w:style w:type="character" w:styleId="668">
    <w:name w:val="Intense Quote Char"/>
    <w:link w:val="702"/>
    <w:uiPriority w:val="30"/>
    <w:rPr>
      <w:i/>
    </w:rPr>
  </w:style>
  <w:style w:type="character" w:styleId="669">
    <w:name w:val="Header Char"/>
    <w:basedOn w:val="683"/>
    <w:link w:val="704"/>
    <w:uiPriority w:val="99"/>
  </w:style>
  <w:style w:type="character" w:styleId="670">
    <w:name w:val="Caption Char"/>
    <w:basedOn w:val="708"/>
    <w:link w:val="706"/>
    <w:uiPriority w:val="99"/>
  </w:style>
  <w:style w:type="character" w:styleId="671">
    <w:name w:val="Footnote Text Char"/>
    <w:link w:val="837"/>
    <w:uiPriority w:val="99"/>
    <w:rPr>
      <w:sz w:val="18"/>
    </w:rPr>
  </w:style>
  <w:style w:type="character" w:styleId="672">
    <w:name w:val="Endnote Text Char"/>
    <w:link w:val="840"/>
    <w:uiPriority w:val="99"/>
    <w:rPr>
      <w:sz w:val="20"/>
    </w:rPr>
  </w:style>
  <w:style w:type="paragraph" w:styleId="673" w:default="1">
    <w:name w:val="Normal"/>
    <w:qFormat/>
    <w:pPr>
      <w:spacing w:line="256" w:lineRule="auto"/>
    </w:pPr>
  </w:style>
  <w:style w:type="paragraph" w:styleId="674">
    <w:name w:val="Heading 1"/>
    <w:basedOn w:val="673"/>
    <w:next w:val="673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5">
    <w:name w:val="Heading 2"/>
    <w:basedOn w:val="673"/>
    <w:next w:val="673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6">
    <w:name w:val="Heading 3"/>
    <w:basedOn w:val="673"/>
    <w:next w:val="673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basedOn w:val="683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No Spacing"/>
    <w:uiPriority w:val="1"/>
    <w:qFormat/>
    <w:pPr>
      <w:spacing w:after="0" w:line="240" w:lineRule="auto"/>
    </w:pPr>
  </w:style>
  <w:style w:type="paragraph" w:styleId="696">
    <w:name w:val="Title"/>
    <w:basedOn w:val="673"/>
    <w:next w:val="673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 w:customStyle="1">
    <w:name w:val="Название Знак"/>
    <w:basedOn w:val="683"/>
    <w:link w:val="696"/>
    <w:uiPriority w:val="10"/>
    <w:rPr>
      <w:sz w:val="48"/>
      <w:szCs w:val="48"/>
    </w:rPr>
  </w:style>
  <w:style w:type="paragraph" w:styleId="698">
    <w:name w:val="Subtitle"/>
    <w:basedOn w:val="673"/>
    <w:next w:val="673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 w:customStyle="1">
    <w:name w:val="Подзаголовок Знак"/>
    <w:basedOn w:val="683"/>
    <w:link w:val="698"/>
    <w:uiPriority w:val="11"/>
    <w:rPr>
      <w:sz w:val="24"/>
      <w:szCs w:val="24"/>
    </w:rPr>
  </w:style>
  <w:style w:type="paragraph" w:styleId="700">
    <w:name w:val="Quote"/>
    <w:basedOn w:val="673"/>
    <w:next w:val="673"/>
    <w:link w:val="701"/>
    <w:uiPriority w:val="29"/>
    <w:qFormat/>
    <w:pPr>
      <w:ind w:left="720" w:right="720"/>
    </w:pPr>
    <w:rPr>
      <w:i/>
    </w:rPr>
  </w:style>
  <w:style w:type="character" w:styleId="701" w:customStyle="1">
    <w:name w:val="Цитата 2 Знак"/>
    <w:link w:val="700"/>
    <w:uiPriority w:val="29"/>
    <w:rPr>
      <w:i/>
    </w:rPr>
  </w:style>
  <w:style w:type="paragraph" w:styleId="702">
    <w:name w:val="Intense Quote"/>
    <w:basedOn w:val="673"/>
    <w:next w:val="673"/>
    <w:link w:val="7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 w:customStyle="1">
    <w:name w:val="Выделенная цитата Знак"/>
    <w:link w:val="702"/>
    <w:uiPriority w:val="30"/>
    <w:rPr>
      <w:i/>
    </w:rPr>
  </w:style>
  <w:style w:type="paragraph" w:styleId="704">
    <w:name w:val="Header"/>
    <w:basedOn w:val="673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Верхний колонтитул Знак"/>
    <w:basedOn w:val="683"/>
    <w:link w:val="704"/>
    <w:uiPriority w:val="99"/>
  </w:style>
  <w:style w:type="paragraph" w:styleId="706">
    <w:name w:val="Footer"/>
    <w:basedOn w:val="673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 w:customStyle="1">
    <w:name w:val="Footer Char"/>
    <w:basedOn w:val="683"/>
    <w:uiPriority w:val="99"/>
  </w:style>
  <w:style w:type="paragraph" w:styleId="708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9" w:customStyle="1">
    <w:name w:val="Нижний колонтитул Знак"/>
    <w:link w:val="706"/>
    <w:uiPriority w:val="99"/>
  </w:style>
  <w:style w:type="table" w:styleId="710">
    <w:name w:val="Table Grid"/>
    <w:basedOn w:val="6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 w:customStyle="1">
    <w:name w:val="Table Grid Light"/>
    <w:basedOn w:val="68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68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6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0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1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2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3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4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5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2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3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4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5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6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7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9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2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3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4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5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6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7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8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6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7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8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9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0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1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2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4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5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6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7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8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9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0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1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2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3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4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5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563c1" w:themeColor="hyperlink"/>
      <w:u w:val="single"/>
    </w:rPr>
  </w:style>
  <w:style w:type="paragraph" w:styleId="837">
    <w:name w:val="footnote text"/>
    <w:basedOn w:val="673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 w:customStyle="1">
    <w:name w:val="Текст сноски Знак"/>
    <w:link w:val="837"/>
    <w:uiPriority w:val="99"/>
    <w:rPr>
      <w:sz w:val="18"/>
    </w:rPr>
  </w:style>
  <w:style w:type="character" w:styleId="839">
    <w:name w:val="footnote reference"/>
    <w:basedOn w:val="683"/>
    <w:uiPriority w:val="99"/>
    <w:unhideWhenUsed/>
    <w:rPr>
      <w:vertAlign w:val="superscript"/>
    </w:rPr>
  </w:style>
  <w:style w:type="paragraph" w:styleId="840">
    <w:name w:val="endnote text"/>
    <w:basedOn w:val="673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 w:customStyle="1">
    <w:name w:val="Текст концевой сноски Знак"/>
    <w:link w:val="840"/>
    <w:uiPriority w:val="99"/>
    <w:rPr>
      <w:sz w:val="20"/>
    </w:rPr>
  </w:style>
  <w:style w:type="character" w:styleId="842">
    <w:name w:val="endnote reference"/>
    <w:basedOn w:val="683"/>
    <w:uiPriority w:val="99"/>
    <w:semiHidden/>
    <w:unhideWhenUsed/>
    <w:rPr>
      <w:vertAlign w:val="superscript"/>
    </w:rPr>
  </w:style>
  <w:style w:type="paragraph" w:styleId="843">
    <w:name w:val="toc 1"/>
    <w:basedOn w:val="673"/>
    <w:next w:val="673"/>
    <w:uiPriority w:val="39"/>
    <w:unhideWhenUsed/>
    <w:pPr>
      <w:spacing w:after="57"/>
    </w:pPr>
  </w:style>
  <w:style w:type="paragraph" w:styleId="844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5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6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7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8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49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50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1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673"/>
    <w:next w:val="673"/>
    <w:uiPriority w:val="99"/>
    <w:unhideWhenUsed/>
    <w:pPr>
      <w:spacing w:after="0"/>
    </w:pPr>
  </w:style>
  <w:style w:type="paragraph" w:styleId="854">
    <w:name w:val="List Paragraph"/>
    <w:basedOn w:val="673"/>
    <w:uiPriority w:val="34"/>
    <w:qFormat/>
    <w:pPr>
      <w:contextualSpacing/>
      <w:ind w:left="720"/>
    </w:pPr>
  </w:style>
  <w:style w:type="paragraph" w:styleId="855">
    <w:name w:val="Balloon Text"/>
    <w:basedOn w:val="673"/>
    <w:link w:val="85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6" w:customStyle="1">
    <w:name w:val="Текст выноски Знак"/>
    <w:basedOn w:val="683"/>
    <w:link w:val="855"/>
    <w:uiPriority w:val="99"/>
    <w:semiHidden/>
    <w:rPr>
      <w:rFonts w:ascii="Segoe UI" w:hAnsi="Segoe UI" w:cs="Segoe UI"/>
      <w:sz w:val="18"/>
      <w:szCs w:val="18"/>
    </w:rPr>
  </w:style>
  <w:style w:type="character" w:styleId="857">
    <w:name w:val="Emphasis"/>
    <w:basedOn w:val="683"/>
    <w:uiPriority w:val="20"/>
    <w:qFormat/>
    <w:rPr>
      <w:i/>
      <w:iCs/>
    </w:rPr>
  </w:style>
  <w:style w:type="character" w:styleId="858">
    <w:name w:val="Strong"/>
    <w:basedOn w:val="683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wps/portal/p/cc_ib_portal_services/cc_ib_sro_reestr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29</cp:revision>
  <dcterms:created xsi:type="dcterms:W3CDTF">2024-04-27T09:44:00Z</dcterms:created>
  <dcterms:modified xsi:type="dcterms:W3CDTF">2025-12-25T08:50:49Z</dcterms:modified>
</cp:coreProperties>
</file>